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37B2" w14:textId="4B5B40F4" w:rsidR="00EB0830" w:rsidRPr="00AF1D09" w:rsidRDefault="00EB0830" w:rsidP="00EB0830">
      <w:pPr>
        <w:jc w:val="center"/>
        <w:rPr>
          <w:rFonts w:ascii="Segoe UI" w:hAnsi="Segoe UI" w:cs="Segoe UI"/>
          <w:sz w:val="34"/>
          <w:szCs w:val="34"/>
        </w:rPr>
      </w:pPr>
      <w:r w:rsidRPr="00AF1D09">
        <w:rPr>
          <w:rFonts w:ascii="Segoe UI" w:eastAsiaTheme="majorEastAsia" w:hAnsi="Segoe UI" w:cs="Segoe UI"/>
          <w:spacing w:val="-10"/>
          <w:kern w:val="28"/>
          <w:sz w:val="34"/>
          <w:szCs w:val="34"/>
        </w:rPr>
        <w:t xml:space="preserve">F-4600 Inline </w:t>
      </w:r>
      <w:r w:rsidR="00B370D8">
        <w:rPr>
          <w:rFonts w:ascii="Segoe UI" w:eastAsiaTheme="majorEastAsia" w:hAnsi="Segoe UI" w:cs="Segoe UI"/>
          <w:spacing w:val="-10"/>
          <w:kern w:val="28"/>
          <w:sz w:val="34"/>
          <w:szCs w:val="34"/>
        </w:rPr>
        <w:t xml:space="preserve">Ultrasonic </w:t>
      </w:r>
      <w:r w:rsidRPr="00AF1D09">
        <w:rPr>
          <w:rFonts w:ascii="Segoe UI" w:eastAsiaTheme="majorEastAsia" w:hAnsi="Segoe UI" w:cs="Segoe UI"/>
          <w:spacing w:val="-10"/>
          <w:kern w:val="28"/>
          <w:sz w:val="34"/>
          <w:szCs w:val="34"/>
        </w:rPr>
        <w:t>Flow Meter - Master Spec</w:t>
      </w:r>
      <w:r w:rsidR="0097634A" w:rsidRPr="00AF1D09">
        <w:rPr>
          <w:rFonts w:ascii="Segoe UI" w:eastAsiaTheme="majorEastAsia" w:hAnsi="Segoe UI" w:cs="Segoe UI"/>
          <w:spacing w:val="-10"/>
          <w:kern w:val="28"/>
          <w:sz w:val="34"/>
          <w:szCs w:val="34"/>
        </w:rPr>
        <w:t>ification</w:t>
      </w:r>
    </w:p>
    <w:p w14:paraId="7BA39C2D" w14:textId="77777777" w:rsidR="00EB0830" w:rsidRPr="00AF1D09" w:rsidRDefault="00EB0830" w:rsidP="00EB0830">
      <w:pPr>
        <w:pStyle w:val="ListParagraph"/>
        <w:numPr>
          <w:ilvl w:val="0"/>
          <w:numId w:val="4"/>
        </w:numPr>
        <w:spacing w:before="120" w:line="360" w:lineRule="auto"/>
        <w:rPr>
          <w:rFonts w:ascii="Segoe UI" w:hAnsi="Segoe UI" w:cs="Segoe UI"/>
        </w:rPr>
      </w:pPr>
      <w:r w:rsidRPr="00AF1D09">
        <w:rPr>
          <w:rFonts w:ascii="Segoe UI" w:hAnsi="Segoe UI" w:cs="Segoe UI"/>
        </w:rPr>
        <w:t xml:space="preserve">   Ultrasonic Flowmeters:</w:t>
      </w:r>
    </w:p>
    <w:p w14:paraId="4EAB5592"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Basis of Design</w:t>
      </w:r>
      <w:r w:rsidRPr="00AF1D09">
        <w:rPr>
          <w:rFonts w:ascii="Segoe UI" w:hAnsi="Segoe UI" w:cs="Segoe UI"/>
        </w:rPr>
        <w:t>:  ONICON Model F-4600 Series Inline Ultrasonic Flowmeter. Manufacturers approved to bid, subject to compliance with requirements include:</w:t>
      </w:r>
    </w:p>
    <w:p w14:paraId="1DFE992F" w14:textId="77777777" w:rsidR="00EB0830" w:rsidRPr="00AF1D09" w:rsidRDefault="00EB0830" w:rsidP="0097634A">
      <w:pPr>
        <w:pStyle w:val="ListParagraph"/>
        <w:numPr>
          <w:ilvl w:val="1"/>
          <w:numId w:val="3"/>
        </w:numPr>
        <w:spacing w:before="120" w:line="360" w:lineRule="auto"/>
        <w:ind w:left="1296" w:hanging="432"/>
        <w:rPr>
          <w:rFonts w:ascii="Segoe UI" w:hAnsi="Segoe UI" w:cs="Segoe UI"/>
        </w:rPr>
      </w:pPr>
      <w:r w:rsidRPr="00AF1D09">
        <w:rPr>
          <w:rFonts w:ascii="Segoe UI" w:hAnsi="Segoe UI" w:cs="Segoe UI"/>
        </w:rPr>
        <w:t>Insert additional MFG’s pre-approved to bid.</w:t>
      </w:r>
    </w:p>
    <w:p w14:paraId="4B475D11"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Description</w:t>
      </w:r>
      <w:r w:rsidRPr="00AF1D09">
        <w:rPr>
          <w:rFonts w:ascii="Segoe UI" w:hAnsi="Segoe UI" w:cs="Segoe UI"/>
        </w:rPr>
        <w:t>:  Provide an inline flowmeter complete with direct beam wetted ultrasonic transducers, temperature sensor, mounting hardware and calibration certificate.</w:t>
      </w:r>
    </w:p>
    <w:p w14:paraId="0BCA2979"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Application Range</w:t>
      </w:r>
      <w:r w:rsidRPr="00AF1D09">
        <w:rPr>
          <w:rFonts w:ascii="Segoe UI" w:hAnsi="Segoe UI" w:cs="Segoe UI"/>
        </w:rPr>
        <w:t>: This contractor shall be responsible for selecting the flowmeter options submitted based on the application.  Flowmeter shall be selected for the intended application in terms of pipe size, pipe material, installation requirements, expected flow rate, ambient conditions and fluid characteristics which include but are not limited to pressure, temperature, and viscosity.</w:t>
      </w:r>
    </w:p>
    <w:p w14:paraId="65A5C7B1"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Design - Sensing Technology</w:t>
      </w:r>
      <w:r w:rsidRPr="00AF1D09">
        <w:rPr>
          <w:rFonts w:ascii="Segoe UI" w:hAnsi="Segoe UI" w:cs="Segoe UI"/>
        </w:rPr>
        <w:t xml:space="preserve">: Ultrasonic flow sensing element shall utilize matched direct path, wetted ultrasonic transducers and 1000 OHM Platinum RTD.  </w:t>
      </w:r>
    </w:p>
    <w:p w14:paraId="23EACF1B" w14:textId="5236B03A"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Construction</w:t>
      </w:r>
      <w:r w:rsidRPr="00AF1D09">
        <w:rPr>
          <w:rFonts w:ascii="Segoe UI" w:hAnsi="Segoe UI" w:cs="Segoe UI"/>
        </w:rPr>
        <w:t xml:space="preserve">:  Flowmeter shall consist of a drop forged corrosion resistant metal flow body with process connections, integral transducers and a processor / transmitter.  All wetted materials shall be </w:t>
      </w:r>
      <w:r w:rsidR="00B370D8">
        <w:rPr>
          <w:rFonts w:ascii="Segoe UI" w:hAnsi="Segoe UI" w:cs="Segoe UI"/>
        </w:rPr>
        <w:t>ANSI/</w:t>
      </w:r>
      <w:r w:rsidRPr="00AF1D09">
        <w:rPr>
          <w:rFonts w:ascii="Segoe UI" w:hAnsi="Segoe UI" w:cs="Segoe UI"/>
        </w:rPr>
        <w:t>NSF</w:t>
      </w:r>
      <w:r w:rsidR="00B370D8">
        <w:rPr>
          <w:rFonts w:ascii="Segoe UI" w:hAnsi="Segoe UI" w:cs="Segoe UI"/>
        </w:rPr>
        <w:t xml:space="preserve"> 61 &amp;</w:t>
      </w:r>
      <w:r w:rsidRPr="00AF1D09">
        <w:rPr>
          <w:rFonts w:ascii="Segoe UI" w:hAnsi="Segoe UI" w:cs="Segoe UI"/>
        </w:rPr>
        <w:t xml:space="preserve"> 372 compliant.</w:t>
      </w:r>
    </w:p>
    <w:p w14:paraId="021817AD"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Maximum Pressure Rating</w:t>
      </w:r>
      <w:r w:rsidRPr="00AF1D09">
        <w:rPr>
          <w:rFonts w:ascii="Segoe UI" w:hAnsi="Segoe UI" w:cs="Segoe UI"/>
        </w:rPr>
        <w:t>:  400psi</w:t>
      </w:r>
    </w:p>
    <w:p w14:paraId="71510BA8"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Maximum Temperature Rating</w:t>
      </w:r>
      <w:r w:rsidRPr="00AF1D09">
        <w:rPr>
          <w:rFonts w:ascii="Segoe UI" w:hAnsi="Segoe UI" w:cs="Segoe UI"/>
        </w:rPr>
        <w:t>: 250F</w:t>
      </w:r>
    </w:p>
    <w:p w14:paraId="4D3914A2"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Mounting Connections</w:t>
      </w:r>
      <w:r w:rsidRPr="00AF1D09">
        <w:rPr>
          <w:rFonts w:ascii="Segoe UI" w:hAnsi="Segoe UI" w:cs="Segoe UI"/>
        </w:rPr>
        <w:t xml:space="preserve">: For </w:t>
      </w:r>
      <w:proofErr w:type="gramStart"/>
      <w:r w:rsidRPr="00AF1D09">
        <w:rPr>
          <w:rFonts w:ascii="Segoe UI" w:hAnsi="Segoe UI" w:cs="Segoe UI"/>
        </w:rPr>
        <w:t>NPS  ½</w:t>
      </w:r>
      <w:proofErr w:type="gramEnd"/>
      <w:r w:rsidRPr="00AF1D09">
        <w:rPr>
          <w:rFonts w:ascii="Segoe UI" w:hAnsi="Segoe UI" w:cs="Segoe UI"/>
        </w:rPr>
        <w:t>” – 2”, piping connections shall be male NPT threads; for NPS 2 ½” provide ANSI class flange, rated for maximum system temperature and pressure.</w:t>
      </w:r>
    </w:p>
    <w:p w14:paraId="21D96B49"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Flow Range</w:t>
      </w:r>
      <w:r w:rsidRPr="00AF1D09">
        <w:rPr>
          <w:rFonts w:ascii="Segoe UI" w:hAnsi="Segoe UI" w:cs="Segoe UI"/>
        </w:rPr>
        <w:t xml:space="preserve">:  Flow-measuring element and transmitter shall cover operating range of equipment or system served.  </w:t>
      </w:r>
    </w:p>
    <w:p w14:paraId="2CF5A098"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Accuracy</w:t>
      </w:r>
      <w:r w:rsidRPr="00AF1D09">
        <w:rPr>
          <w:rFonts w:ascii="Segoe UI" w:hAnsi="Segoe UI" w:cs="Segoe UI"/>
        </w:rPr>
        <w:t>:  Flowmeter shall provide calibrated outputs directly from the transmitter, throughout the operating range with the accuracy stated as follows:</w:t>
      </w:r>
    </w:p>
    <w:p w14:paraId="661EAF39" w14:textId="77777777" w:rsidR="00EB0830" w:rsidRPr="00AF1D09" w:rsidRDefault="00EB0830" w:rsidP="0097634A">
      <w:pPr>
        <w:pStyle w:val="ListParagraph"/>
        <w:numPr>
          <w:ilvl w:val="0"/>
          <w:numId w:val="2"/>
        </w:numPr>
        <w:spacing w:before="120" w:line="360" w:lineRule="auto"/>
        <w:ind w:left="1296" w:hanging="432"/>
        <w:rPr>
          <w:rFonts w:ascii="Segoe UI" w:hAnsi="Segoe UI" w:cs="Segoe UI"/>
        </w:rPr>
      </w:pPr>
      <w:proofErr w:type="gramStart"/>
      <w:r w:rsidRPr="00AF1D09">
        <w:rPr>
          <w:rFonts w:ascii="Segoe UI" w:hAnsi="Segoe UI" w:cs="Segoe UI"/>
        </w:rPr>
        <w:t>Plus</w:t>
      </w:r>
      <w:proofErr w:type="gramEnd"/>
      <w:r w:rsidRPr="00AF1D09">
        <w:rPr>
          <w:rFonts w:ascii="Segoe UI" w:hAnsi="Segoe UI" w:cs="Segoe UI"/>
        </w:rPr>
        <w:t xml:space="preserve"> or minus 1.0% of flow rate over a 25:1 turndown</w:t>
      </w:r>
    </w:p>
    <w:p w14:paraId="42350CE7" w14:textId="77777777" w:rsidR="00EB0830" w:rsidRPr="00AF1D09" w:rsidRDefault="00EB0830" w:rsidP="0097634A">
      <w:pPr>
        <w:pStyle w:val="ListParagraph"/>
        <w:numPr>
          <w:ilvl w:val="0"/>
          <w:numId w:val="2"/>
        </w:numPr>
        <w:spacing w:before="120" w:line="360" w:lineRule="auto"/>
        <w:ind w:left="1296" w:hanging="432"/>
        <w:rPr>
          <w:rFonts w:ascii="Segoe UI" w:hAnsi="Segoe UI" w:cs="Segoe UI"/>
        </w:rPr>
      </w:pPr>
      <w:proofErr w:type="gramStart"/>
      <w:r w:rsidRPr="00AF1D09">
        <w:rPr>
          <w:rFonts w:ascii="Segoe UI" w:hAnsi="Segoe UI" w:cs="Segoe UI"/>
        </w:rPr>
        <w:lastRenderedPageBreak/>
        <w:t>Plus</w:t>
      </w:r>
      <w:proofErr w:type="gramEnd"/>
      <w:r w:rsidRPr="00AF1D09">
        <w:rPr>
          <w:rFonts w:ascii="Segoe UI" w:hAnsi="Segoe UI" w:cs="Segoe UI"/>
        </w:rPr>
        <w:t xml:space="preserve"> or minus 2.0% of flow rate over a 100:1 turndown</w:t>
      </w:r>
    </w:p>
    <w:p w14:paraId="083CC2AD" w14:textId="77777777" w:rsidR="00EB0830" w:rsidRPr="00AF1D09" w:rsidRDefault="00EB0830" w:rsidP="0097634A">
      <w:pPr>
        <w:pStyle w:val="ListParagraph"/>
        <w:numPr>
          <w:ilvl w:val="0"/>
          <w:numId w:val="2"/>
        </w:numPr>
        <w:spacing w:before="120" w:line="360" w:lineRule="auto"/>
        <w:ind w:left="1296" w:hanging="432"/>
        <w:rPr>
          <w:rFonts w:ascii="Segoe UI" w:hAnsi="Segoe UI" w:cs="Segoe UI"/>
        </w:rPr>
      </w:pPr>
      <w:r w:rsidRPr="00AF1D09">
        <w:rPr>
          <w:rFonts w:ascii="Segoe UI" w:hAnsi="Segoe UI" w:cs="Segoe UI"/>
        </w:rPr>
        <w:t>Overall turndown of 500:1</w:t>
      </w:r>
    </w:p>
    <w:p w14:paraId="1E0528A3"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Transmitter</w:t>
      </w:r>
      <w:r w:rsidRPr="00AF1D09">
        <w:rPr>
          <w:rFonts w:ascii="Segoe UI" w:hAnsi="Segoe UI" w:cs="Segoe UI"/>
        </w:rPr>
        <w:t xml:space="preserve">:  Transmitter shall provide instantaneous flow rate information over a 4-20mA scale and a pulse output for totalized flow information. </w:t>
      </w:r>
    </w:p>
    <w:p w14:paraId="46F4BB1F"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Optional Transmitter with Integral Display and Operator Interface</w:t>
      </w:r>
      <w:r w:rsidRPr="00AF1D09">
        <w:rPr>
          <w:rFonts w:ascii="Segoe UI" w:hAnsi="Segoe UI" w:cs="Segoe UI"/>
        </w:rPr>
        <w:t>:  Provide an operator interface consisting of three push-buttons.  Display shall visually indicate total fluid volume, instantaneous flow rate and fluid temperature.  Output signals shall be either serial network protocol, pulse output, analog output or combination.  Pulse output for totalization of flow, Gallons typical.  Optional serial communications output shall be native to the BTU meter, BACnet meters shall be BTL certified, secondary communication gateways shall not be permitted.  Information provided via the serial communication network shall include: Flow rate, flow total, fluid temperature and a trend including peak values.  Meters with serial communications shall be able to provide up to three additional auxiliary pulses configured as inputs or outputs.</w:t>
      </w:r>
    </w:p>
    <w:p w14:paraId="35BB8029" w14:textId="77777777"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Operating and Installation Instructions</w:t>
      </w:r>
      <w:r w:rsidRPr="00AF1D09">
        <w:rPr>
          <w:rFonts w:ascii="Segoe UI" w:hAnsi="Segoe UI" w:cs="Segoe UI"/>
        </w:rPr>
        <w:t>:  Installation and operating instructions shall be provided for each flowmeter.</w:t>
      </w:r>
    </w:p>
    <w:p w14:paraId="75306DF2" w14:textId="4038F198" w:rsidR="00EB0830" w:rsidRPr="00AF1D09" w:rsidRDefault="00EB0830" w:rsidP="0097634A">
      <w:pPr>
        <w:pStyle w:val="ListParagraph"/>
        <w:numPr>
          <w:ilvl w:val="0"/>
          <w:numId w:val="3"/>
        </w:numPr>
        <w:spacing w:before="120" w:line="360" w:lineRule="auto"/>
        <w:ind w:left="864" w:hanging="432"/>
        <w:rPr>
          <w:rFonts w:ascii="Segoe UI" w:hAnsi="Segoe UI" w:cs="Segoe UI"/>
        </w:rPr>
      </w:pPr>
      <w:r w:rsidRPr="00AF1D09">
        <w:rPr>
          <w:rFonts w:ascii="Segoe UI" w:hAnsi="Segoe UI" w:cs="Segoe UI"/>
          <w:u w:val="single"/>
        </w:rPr>
        <w:t>Warranty</w:t>
      </w:r>
      <w:r w:rsidRPr="00AF1D09">
        <w:rPr>
          <w:rFonts w:ascii="Segoe UI" w:hAnsi="Segoe UI" w:cs="Segoe UI"/>
        </w:rPr>
        <w:t xml:space="preserve">:  Flowmeter shall be covered by the manufacturer’s </w:t>
      </w:r>
      <w:r w:rsidR="00AF1D09">
        <w:rPr>
          <w:rFonts w:ascii="Segoe UI" w:hAnsi="Segoe UI" w:cs="Segoe UI"/>
        </w:rPr>
        <w:t>three</w:t>
      </w:r>
      <w:r w:rsidRPr="00AF1D09">
        <w:rPr>
          <w:rFonts w:ascii="Segoe UI" w:hAnsi="Segoe UI" w:cs="Segoe UI"/>
        </w:rPr>
        <w:t>-year warranty.</w:t>
      </w:r>
    </w:p>
    <w:p w14:paraId="5DF6E0F0" w14:textId="77777777" w:rsidR="00EB0830" w:rsidRPr="00AF1D09" w:rsidRDefault="00EB0830" w:rsidP="00EB0830">
      <w:pPr>
        <w:rPr>
          <w:rFonts w:ascii="Segoe UI" w:hAnsi="Segoe UI" w:cs="Segoe UI"/>
          <w:b/>
          <w:sz w:val="22"/>
          <w:szCs w:val="22"/>
        </w:rPr>
      </w:pPr>
      <w:r w:rsidRPr="00AF1D09">
        <w:rPr>
          <w:rFonts w:ascii="Segoe UI" w:hAnsi="Segoe UI" w:cs="Segoe UI"/>
          <w:b/>
          <w:sz w:val="22"/>
          <w:szCs w:val="22"/>
        </w:rPr>
        <w:t>EXECUTION</w:t>
      </w:r>
    </w:p>
    <w:p w14:paraId="6320331F" w14:textId="77777777" w:rsidR="00EB0830" w:rsidRPr="00AF1D09" w:rsidRDefault="00EB0830" w:rsidP="00EB0830">
      <w:pPr>
        <w:pStyle w:val="ListParagraph"/>
        <w:numPr>
          <w:ilvl w:val="0"/>
          <w:numId w:val="6"/>
        </w:numPr>
        <w:rPr>
          <w:rFonts w:ascii="Segoe UI" w:hAnsi="Segoe UI" w:cs="Segoe UI"/>
        </w:rPr>
      </w:pPr>
      <w:r w:rsidRPr="00AF1D09">
        <w:rPr>
          <w:rFonts w:ascii="Segoe UI" w:hAnsi="Segoe UI" w:cs="Segoe UI"/>
        </w:rPr>
        <w:t>INSTALLATION</w:t>
      </w:r>
    </w:p>
    <w:p w14:paraId="65562797" w14:textId="77777777" w:rsidR="00EB0830" w:rsidRPr="00AF1D09" w:rsidRDefault="00EB0830" w:rsidP="00EB0830">
      <w:pPr>
        <w:pStyle w:val="ListParagraph"/>
        <w:numPr>
          <w:ilvl w:val="1"/>
          <w:numId w:val="8"/>
        </w:numPr>
        <w:rPr>
          <w:rFonts w:ascii="Segoe UI" w:hAnsi="Segoe UI" w:cs="Segoe UI"/>
        </w:rPr>
      </w:pPr>
      <w:r w:rsidRPr="00AF1D09">
        <w:rPr>
          <w:rFonts w:ascii="Segoe UI" w:hAnsi="Segoe UI" w:cs="Segoe UI"/>
        </w:rPr>
        <w:t>Install flowmeters in accessible locations in piping systems based on manufacturer’s recommendations regarding orientation and straight run requirements.</w:t>
      </w:r>
    </w:p>
    <w:p w14:paraId="3539CB4F" w14:textId="77777777" w:rsidR="00EB0830" w:rsidRPr="00AF1D09" w:rsidRDefault="00EB0830" w:rsidP="00EB0830">
      <w:pPr>
        <w:pStyle w:val="ListParagraph"/>
        <w:numPr>
          <w:ilvl w:val="1"/>
          <w:numId w:val="8"/>
        </w:numPr>
        <w:rPr>
          <w:rFonts w:ascii="Segoe UI" w:hAnsi="Segoe UI" w:cs="Segoe UI"/>
        </w:rPr>
      </w:pPr>
      <w:r w:rsidRPr="00AF1D09">
        <w:rPr>
          <w:rFonts w:ascii="Segoe UI" w:hAnsi="Segoe UI" w:cs="Segoe UI"/>
        </w:rPr>
        <w:t>Install flowmeter elements with at least the minimum straight lengths of pipe, upstream and downstream from meter, required to produce the published flowmeter accuracy according to manufacturer's written instructions.</w:t>
      </w:r>
    </w:p>
    <w:p w14:paraId="05396E6B" w14:textId="77777777" w:rsidR="00EB0830" w:rsidRPr="00AF1D09" w:rsidRDefault="00EB0830" w:rsidP="00EB0830">
      <w:pPr>
        <w:pStyle w:val="ListParagraph"/>
        <w:numPr>
          <w:ilvl w:val="0"/>
          <w:numId w:val="6"/>
        </w:numPr>
        <w:rPr>
          <w:rFonts w:ascii="Segoe UI" w:hAnsi="Segoe UI" w:cs="Segoe UI"/>
        </w:rPr>
      </w:pPr>
      <w:r w:rsidRPr="00AF1D09">
        <w:rPr>
          <w:rFonts w:ascii="Segoe UI" w:hAnsi="Segoe UI" w:cs="Segoe UI"/>
        </w:rPr>
        <w:t>CONNECTIONS</w:t>
      </w:r>
    </w:p>
    <w:p w14:paraId="074DB4C0" w14:textId="77777777" w:rsidR="00EB0830" w:rsidRPr="00AF1D09" w:rsidRDefault="00EB0830" w:rsidP="00EB0830">
      <w:pPr>
        <w:pStyle w:val="ListParagraph"/>
        <w:numPr>
          <w:ilvl w:val="1"/>
          <w:numId w:val="6"/>
        </w:numPr>
        <w:rPr>
          <w:rFonts w:ascii="Segoe UI" w:hAnsi="Segoe UI" w:cs="Segoe UI"/>
        </w:rPr>
      </w:pPr>
      <w:r w:rsidRPr="00AF1D09">
        <w:rPr>
          <w:rFonts w:ascii="Segoe UI" w:hAnsi="Segoe UI" w:cs="Segoe UI"/>
        </w:rPr>
        <w:t>This contractor shall be responsible for connecting flowmeter transmitters to flow metering elements as required.</w:t>
      </w:r>
    </w:p>
    <w:p w14:paraId="4B1BCDDD" w14:textId="77777777" w:rsidR="00EB0830" w:rsidRPr="00AF1D09" w:rsidRDefault="00EB0830" w:rsidP="00EB0830">
      <w:pPr>
        <w:pStyle w:val="ListParagraph"/>
        <w:numPr>
          <w:ilvl w:val="0"/>
          <w:numId w:val="6"/>
        </w:numPr>
        <w:rPr>
          <w:rFonts w:ascii="Segoe UI" w:hAnsi="Segoe UI" w:cs="Segoe UI"/>
        </w:rPr>
      </w:pPr>
      <w:r w:rsidRPr="00AF1D09">
        <w:rPr>
          <w:rFonts w:ascii="Segoe UI" w:hAnsi="Segoe UI" w:cs="Segoe UI"/>
        </w:rPr>
        <w:t>COMMISSIONING</w:t>
      </w:r>
    </w:p>
    <w:p w14:paraId="04B58642" w14:textId="77777777" w:rsidR="00EB0830" w:rsidRPr="00AF1D09" w:rsidRDefault="00EB0830" w:rsidP="00EB0830">
      <w:pPr>
        <w:pStyle w:val="ListParagraph"/>
        <w:numPr>
          <w:ilvl w:val="1"/>
          <w:numId w:val="6"/>
        </w:numPr>
        <w:rPr>
          <w:rFonts w:ascii="Segoe UI" w:hAnsi="Segoe UI" w:cs="Segoe UI"/>
        </w:rPr>
      </w:pPr>
      <w:r w:rsidRPr="00AF1D09">
        <w:rPr>
          <w:rFonts w:ascii="Segoe UI" w:hAnsi="Segoe UI" w:cs="Segoe UI"/>
        </w:rPr>
        <w:t>After installation, commission all meters according to manufacturer's written instructions.</w:t>
      </w:r>
    </w:p>
    <w:p w14:paraId="42EC45D4" w14:textId="77777777" w:rsidR="00EB0830" w:rsidRPr="00AF1D09" w:rsidRDefault="00EB0830" w:rsidP="00EB0830">
      <w:pPr>
        <w:pStyle w:val="ListParagraph"/>
        <w:numPr>
          <w:ilvl w:val="1"/>
          <w:numId w:val="6"/>
        </w:numPr>
        <w:rPr>
          <w:rFonts w:ascii="Segoe UI" w:hAnsi="Segoe UI" w:cs="Segoe UI"/>
        </w:rPr>
      </w:pPr>
      <w:r w:rsidRPr="00AF1D09">
        <w:rPr>
          <w:rFonts w:ascii="Segoe UI" w:hAnsi="Segoe UI" w:cs="Segoe UI"/>
        </w:rPr>
        <w:lastRenderedPageBreak/>
        <w:t xml:space="preserve">Adjust faces of meters and gages to proper angle for best visibility. Refer to manufacturers written instructions.  </w:t>
      </w:r>
    </w:p>
    <w:p w14:paraId="7D3FA42A" w14:textId="77777777" w:rsidR="00EB0830" w:rsidRPr="00AF1D09" w:rsidRDefault="00EB0830" w:rsidP="00EB0830">
      <w:pPr>
        <w:pStyle w:val="ListParagraph"/>
        <w:numPr>
          <w:ilvl w:val="0"/>
          <w:numId w:val="6"/>
        </w:numPr>
        <w:rPr>
          <w:rFonts w:ascii="Segoe UI" w:hAnsi="Segoe UI" w:cs="Segoe UI"/>
        </w:rPr>
      </w:pPr>
      <w:r w:rsidRPr="00AF1D09">
        <w:rPr>
          <w:rFonts w:ascii="Segoe UI" w:hAnsi="Segoe UI" w:cs="Segoe UI"/>
        </w:rPr>
        <w:t>FLOWMETER SCHEDULE BY APPLICATION</w:t>
      </w:r>
    </w:p>
    <w:p w14:paraId="0D89CA69" w14:textId="77777777" w:rsidR="00EB0830" w:rsidRPr="00AF1D09" w:rsidRDefault="00EB0830" w:rsidP="00EB0830">
      <w:pPr>
        <w:pStyle w:val="ListParagraph"/>
        <w:numPr>
          <w:ilvl w:val="1"/>
          <w:numId w:val="6"/>
        </w:numPr>
        <w:rPr>
          <w:rFonts w:ascii="Segoe UI" w:hAnsi="Segoe UI" w:cs="Segoe UI"/>
        </w:rPr>
      </w:pPr>
      <w:r w:rsidRPr="00AF1D09">
        <w:rPr>
          <w:rFonts w:ascii="Segoe UI" w:hAnsi="Segoe UI" w:cs="Segoe UI"/>
        </w:rPr>
        <w:t>Flowmeter selection, including flow sensing technology and materials of construction shall be based on accuracy requirements, installation requirements, fluid characteristics and ambient conditions. Flowmeters shall be selected and installed in accordance with manufacturers recommendations.  Refer to drawings for additional information regarding flow metering applications.</w:t>
      </w:r>
    </w:p>
    <w:p w14:paraId="7A26C807" w14:textId="77777777" w:rsidR="004C6DFD" w:rsidRPr="00AF1D09" w:rsidRDefault="004C6DFD" w:rsidP="004C6DFD">
      <w:pPr>
        <w:rPr>
          <w:rFonts w:ascii="Segoe UI" w:hAnsi="Segoe UI" w:cs="Segoe UI"/>
        </w:rPr>
      </w:pPr>
    </w:p>
    <w:sectPr w:rsidR="004C6DFD" w:rsidRPr="00AF1D09" w:rsidSect="00EB0830">
      <w:headerReference w:type="default" r:id="rId8"/>
      <w:footerReference w:type="even" r:id="rId9"/>
      <w:footerReference w:type="default" r:id="rId10"/>
      <w:pgSz w:w="12240" w:h="15840"/>
      <w:pgMar w:top="25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1890" w14:textId="77777777" w:rsidR="001B1A78" w:rsidRDefault="001B1A78" w:rsidP="00FC2FE3">
      <w:pPr>
        <w:spacing w:before="0" w:after="0" w:line="240" w:lineRule="auto"/>
      </w:pPr>
      <w:r>
        <w:separator/>
      </w:r>
    </w:p>
  </w:endnote>
  <w:endnote w:type="continuationSeparator" w:id="0">
    <w:p w14:paraId="780FAA88" w14:textId="77777777" w:rsidR="001B1A78" w:rsidRDefault="001B1A78"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pot New Condensed Rg">
    <w:altName w:val="Arial"/>
    <w:panose1 w:val="00000000000000000000"/>
    <w:charset w:val="00"/>
    <w:family w:val="modern"/>
    <w:notTrueType/>
    <w:pitch w:val="variable"/>
    <w:sig w:usb0="A00000AF" w:usb1="4000206B" w:usb2="00000000" w:usb3="00000000" w:csb0="0000009B"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F239"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3A55" w14:textId="4FA70D71" w:rsidR="00430908" w:rsidRPr="00B370D8" w:rsidRDefault="00B370D8" w:rsidP="00E11099">
    <w:pPr>
      <w:pStyle w:val="Footer"/>
      <w:ind w:left="3600"/>
      <w:rPr>
        <w:rFonts w:ascii="Segoe UI" w:hAnsi="Segoe UI" w:cs="Segoe UI"/>
        <w:noProof/>
        <w:color w:val="000000" w:themeColor="text1"/>
      </w:rPr>
    </w:pPr>
    <w:r w:rsidRPr="00B370D8">
      <w:rPr>
        <w:rFonts w:ascii="Segoe UI" w:hAnsi="Segoe UI" w:cs="Segoe UI"/>
        <w:noProof/>
        <w:color w:val="000000" w:themeColor="text1"/>
      </w:rPr>
      <w:ptab w:relativeTo="margin" w:alignment="right" w:leader="none"/>
    </w:r>
    <w:r w:rsidRPr="00B370D8">
      <w:rPr>
        <w:rFonts w:ascii="Segoe UI" w:hAnsi="Segoe UI" w:cs="Segoe UI"/>
        <w:noProof/>
        <w:color w:val="000000" w:themeColor="text1"/>
      </w:rPr>
      <w:t>DOC-0003064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B8FA" w14:textId="77777777" w:rsidR="001B1A78" w:rsidRDefault="001B1A78" w:rsidP="00FC2FE3">
      <w:pPr>
        <w:spacing w:before="0" w:after="0" w:line="240" w:lineRule="auto"/>
      </w:pPr>
      <w:r>
        <w:separator/>
      </w:r>
    </w:p>
  </w:footnote>
  <w:footnote w:type="continuationSeparator" w:id="0">
    <w:p w14:paraId="16644FBB" w14:textId="77777777" w:rsidR="001B1A78" w:rsidRDefault="001B1A78"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ECAD"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504ED720" wp14:editId="7B9FD43E">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2AF2545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2D9AF4E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2CB25DE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51C9E0F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48C7CFA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3475F96F"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ED720"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" fillcolor="white [3201]" stroked="f" strokeweight=".5pt">
              <v:textbox>
                <w:txbxContent>
                  <w:p w14:paraId="2AF2545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2D9AF4E9"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2CB25DE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51C9E0F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48C7CFA6"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3475F96F"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3D9E44C3" wp14:editId="7BC0B897">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2B766B33" wp14:editId="78FB3E31">
          <wp:extent cx="213550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ACC"/>
    <w:multiLevelType w:val="hybridMultilevel"/>
    <w:tmpl w:val="A744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2BB7"/>
    <w:multiLevelType w:val="hybridMultilevel"/>
    <w:tmpl w:val="A4B40F30"/>
    <w:lvl w:ilvl="0" w:tplc="5202A64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BA42C9"/>
    <w:multiLevelType w:val="hybridMultilevel"/>
    <w:tmpl w:val="516AE7F6"/>
    <w:lvl w:ilvl="0" w:tplc="5202A648">
      <w:start w:val="1"/>
      <w:numFmt w:val="lowerLetter"/>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 w15:restartNumberingAfterBreak="0">
    <w:nsid w:val="21450A8C"/>
    <w:multiLevelType w:val="hybridMultilevel"/>
    <w:tmpl w:val="571A1AF2"/>
    <w:lvl w:ilvl="0" w:tplc="815063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7B91C4F"/>
    <w:multiLevelType w:val="hybridMultilevel"/>
    <w:tmpl w:val="C6D68D96"/>
    <w:lvl w:ilvl="0" w:tplc="0409000F">
      <w:start w:val="1"/>
      <w:numFmt w:val="decimal"/>
      <w:lvlText w:val="%1."/>
      <w:lvlJc w:val="left"/>
      <w:pPr>
        <w:ind w:left="720" w:hanging="360"/>
      </w:pPr>
    </w:lvl>
    <w:lvl w:ilvl="1" w:tplc="5202A6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71BCE"/>
    <w:multiLevelType w:val="hybridMultilevel"/>
    <w:tmpl w:val="E2F6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07BDE"/>
    <w:multiLevelType w:val="hybridMultilevel"/>
    <w:tmpl w:val="9E4E9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D56C4"/>
    <w:multiLevelType w:val="hybridMultilevel"/>
    <w:tmpl w:val="3552F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B"/>
    <w:rsid w:val="0001264D"/>
    <w:rsid w:val="00162FCE"/>
    <w:rsid w:val="00166EF2"/>
    <w:rsid w:val="001B1A78"/>
    <w:rsid w:val="00202F02"/>
    <w:rsid w:val="00285CD8"/>
    <w:rsid w:val="002963DC"/>
    <w:rsid w:val="003A382B"/>
    <w:rsid w:val="003C1A89"/>
    <w:rsid w:val="00430908"/>
    <w:rsid w:val="004C6DFD"/>
    <w:rsid w:val="0051235D"/>
    <w:rsid w:val="006717F5"/>
    <w:rsid w:val="006A0A40"/>
    <w:rsid w:val="006C54C5"/>
    <w:rsid w:val="007B5E1B"/>
    <w:rsid w:val="00832560"/>
    <w:rsid w:val="008B3CDD"/>
    <w:rsid w:val="008E3EB3"/>
    <w:rsid w:val="00941DFC"/>
    <w:rsid w:val="0097634A"/>
    <w:rsid w:val="009A77DE"/>
    <w:rsid w:val="009B36E0"/>
    <w:rsid w:val="009D6471"/>
    <w:rsid w:val="009F2254"/>
    <w:rsid w:val="00A05209"/>
    <w:rsid w:val="00A80B06"/>
    <w:rsid w:val="00AF1D09"/>
    <w:rsid w:val="00B370D8"/>
    <w:rsid w:val="00BB280D"/>
    <w:rsid w:val="00CE2774"/>
    <w:rsid w:val="00E11099"/>
    <w:rsid w:val="00EB0830"/>
    <w:rsid w:val="00F85B3E"/>
    <w:rsid w:val="00FC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C56B"/>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semiHidden/>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semiHidden/>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semiHidden/>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semiHidden/>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EB0830"/>
    <w:pPr>
      <w:spacing w:before="0"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B908D-64EB-4D8B-BFFA-14BDE6ED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abence</dc:creator>
  <cp:keywords/>
  <dc:description/>
  <cp:lastModifiedBy>Ashley Bence</cp:lastModifiedBy>
  <cp:revision>3</cp:revision>
  <cp:lastPrinted>2018-02-16T16:14:00Z</cp:lastPrinted>
  <dcterms:created xsi:type="dcterms:W3CDTF">2020-01-13T15:54:00Z</dcterms:created>
  <dcterms:modified xsi:type="dcterms:W3CDTF">2021-06-10T16:11:00Z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Date">
    <vt:filetime>2020-01-13T00:00:00Z</vt:filetime>
  </property>
  <property fmtid="{D5CDD505-2E9C-101B-9397-08002B2CF9AE}" pid="4" name="Project Name">
    <vt:lpwstr>F-4600 Series Wetted Ultrasonic Flow Meter</vt:lpwstr>
  </property>
  <property fmtid="{D5CDD505-2E9C-101B-9397-08002B2CF9AE}" pid="5" name="ProjectNumber">
    <vt:lpwstr>PROD-00108</vt:lpwstr>
  </property>
  <property fmtid="{D5CDD505-2E9C-101B-9397-08002B2CF9AE}" pid="6" name="NUMBER">
    <vt:lpwstr>DOC-0003064</vt:lpwstr>
  </property>
  <property fmtid="{D5CDD505-2E9C-101B-9397-08002B2CF9AE}" pid="7" name="Revision">
    <vt:lpwstr>A</vt:lpwstr>
  </property>
</Properties>
</file>